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4971">
      <w:pPr>
        <w:keepNext w:val="0"/>
        <w:keepLines w:val="0"/>
        <w:widowControl/>
        <w:suppressLineNumbers w:val="0"/>
        <w:pBdr>
          <w:top w:val="none" w:color="auto" w:sz="0" w:space="0"/>
          <w:left w:val="none" w:color="auto" w:sz="0" w:space="0"/>
          <w:bottom w:val="single" w:color="D8D8D8" w:sz="12" w:space="22"/>
          <w:right w:val="none" w:color="auto" w:sz="0" w:space="0"/>
        </w:pBdr>
        <w:ind w:left="0" w:firstLine="0"/>
        <w:jc w:val="center"/>
        <w:rPr>
          <w:rFonts w:hint="eastAsia" w:ascii="微软雅黑" w:hAnsi="微软雅黑" w:eastAsia="微软雅黑" w:cs="微软雅黑"/>
          <w:i w:val="0"/>
          <w:iCs w:val="0"/>
          <w:caps w:val="0"/>
          <w:color w:val="38444F"/>
          <w:spacing w:val="0"/>
          <w:kern w:val="0"/>
          <w:sz w:val="20"/>
          <w:szCs w:val="20"/>
          <w:lang w:val="en-US" w:eastAsia="zh-CN" w:bidi="ar"/>
        </w:rPr>
      </w:pPr>
      <w:r>
        <w:rPr>
          <w:rFonts w:hint="eastAsia" w:ascii="微软雅黑" w:hAnsi="微软雅黑" w:eastAsia="微软雅黑" w:cs="微软雅黑"/>
          <w:i w:val="0"/>
          <w:iCs w:val="0"/>
          <w:caps w:val="0"/>
          <w:color w:val="38444F"/>
          <w:spacing w:val="0"/>
          <w:kern w:val="0"/>
          <w:sz w:val="20"/>
          <w:szCs w:val="20"/>
          <w:lang w:val="en-US" w:eastAsia="zh-CN" w:bidi="ar"/>
        </w:rPr>
        <w:t>【国家政策动态】中国人民银行 金融监管总局 中国证监会关于印发《绿色金融支持项目目录（2025年版）》的通知</w:t>
      </w:r>
    </w:p>
    <w:p w14:paraId="00E60D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71777C"/>
          <w:spacing w:val="0"/>
          <w:kern w:val="0"/>
          <w:sz w:val="16"/>
          <w:szCs w:val="16"/>
          <w:lang w:val="en-US" w:eastAsia="zh-CN" w:bidi="ar"/>
        </w:rPr>
      </w:pPr>
      <w:r>
        <w:rPr>
          <w:rFonts w:hint="eastAsia" w:ascii="微软雅黑" w:hAnsi="微软雅黑" w:eastAsia="微软雅黑" w:cs="微软雅黑"/>
          <w:i w:val="0"/>
          <w:iCs w:val="0"/>
          <w:caps w:val="0"/>
          <w:color w:val="71777C"/>
          <w:spacing w:val="0"/>
          <w:kern w:val="0"/>
          <w:sz w:val="16"/>
          <w:szCs w:val="16"/>
          <w:lang w:val="en-US" w:eastAsia="zh-CN" w:bidi="ar"/>
        </w:rPr>
        <w:t>来源：国家发展改革委  时间：2025-03-12 20:13:20（页面设计发表时间）</w:t>
      </w:r>
    </w:p>
    <w:p w14:paraId="437405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71777C"/>
          <w:spacing w:val="0"/>
          <w:kern w:val="0"/>
          <w:sz w:val="16"/>
          <w:szCs w:val="16"/>
          <w:lang w:val="en-US" w:eastAsia="zh-CN" w:bidi="ar"/>
        </w:rPr>
      </w:pPr>
    </w:p>
    <w:p w14:paraId="5074B84D">
      <w:pPr>
        <w:numPr>
          <w:ilvl w:val="0"/>
          <w:numId w:val="0"/>
        </w:numPr>
        <w:jc w:val="center"/>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33333"/>
          <w:spacing w:val="0"/>
          <w:kern w:val="0"/>
          <w:sz w:val="15"/>
          <w:szCs w:val="15"/>
          <w:lang w:val="en-US" w:eastAsia="zh-CN" w:bidi="ar"/>
        </w:rPr>
        <w:t>中国人民银行 金融监管总局 中国证监会关于印发《绿色金融支持项目目录（2025年版）》的通知</w:t>
      </w:r>
    </w:p>
    <w:p w14:paraId="33371B64">
      <w:pPr>
        <w:numPr>
          <w:ilvl w:val="0"/>
          <w:numId w:val="0"/>
        </w:numPr>
        <w:jc w:val="center"/>
        <w:rPr>
          <w:rFonts w:hint="eastAsia" w:ascii="微软雅黑" w:hAnsi="微软雅黑" w:eastAsia="微软雅黑" w:cs="微软雅黑"/>
          <w:i w:val="0"/>
          <w:iCs w:val="0"/>
          <w:caps w:val="0"/>
          <w:color w:val="333333"/>
          <w:spacing w:val="0"/>
          <w:kern w:val="0"/>
          <w:sz w:val="15"/>
          <w:szCs w:val="15"/>
          <w:lang w:val="en-US" w:eastAsia="zh-CN" w:bidi="ar"/>
        </w:rPr>
      </w:pPr>
    </w:p>
    <w:p w14:paraId="6F843E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8444F"/>
          <w:spacing w:val="0"/>
          <w:sz w:val="22"/>
          <w:szCs w:val="22"/>
          <w:shd w:val="clear" w:fill="FFFFFF"/>
        </w:rPr>
        <w:t>为</w:t>
      </w:r>
      <w:r>
        <w:rPr>
          <w:rFonts w:hint="eastAsia" w:ascii="微软雅黑" w:hAnsi="微软雅黑" w:eastAsia="微软雅黑" w:cs="微软雅黑"/>
          <w:i w:val="0"/>
          <w:iCs w:val="0"/>
          <w:caps w:val="0"/>
          <w:color w:val="333333"/>
          <w:spacing w:val="0"/>
          <w:kern w:val="0"/>
          <w:sz w:val="15"/>
          <w:szCs w:val="15"/>
          <w:lang w:val="en-US" w:eastAsia="zh-CN" w:bidi="ar"/>
        </w:rPr>
        <w:t>全面贯彻党的二十大和二十届二中、三中全会精神，落实中央金融工作会议关于做好绿色金融大文章的要求，充分发挥绿色金融牵引作用，完善绿色金融标准体系和基础制度,进一步加大金融支持经济社会发展全面绿色转型和美丽中国建设力度，依据《中共中央 国务院关于加快经济社会发展全面绿色转型的意见》《中国人民银行 国家发展改革委 工业和信息化部 财政部 生态环境部 金融监管总局 中国证监会关于进一步强化金融支持绿色低碳发展的指导意见》（银发〔2024〕70号），中国人民银行、金融监管总局、中国证监会以《绿色低碳转型产业指导目录（2024年版）》《绿色债券支持项目目录（2021年版）》（银发〔2021〕96号文印发）为基础，修订形成《绿色金</w:t>
      </w:r>
      <w:bookmarkStart w:id="0" w:name="_GoBack"/>
      <w:bookmarkEnd w:id="0"/>
      <w:r>
        <w:rPr>
          <w:rFonts w:hint="eastAsia" w:ascii="微软雅黑" w:hAnsi="微软雅黑" w:eastAsia="微软雅黑" w:cs="微软雅黑"/>
          <w:i w:val="0"/>
          <w:iCs w:val="0"/>
          <w:caps w:val="0"/>
          <w:color w:val="333333"/>
          <w:spacing w:val="0"/>
          <w:kern w:val="0"/>
          <w:sz w:val="15"/>
          <w:szCs w:val="15"/>
          <w:lang w:val="en-US" w:eastAsia="zh-CN" w:bidi="ar"/>
        </w:rPr>
        <w:t>融支持项目目录（2025年版）》，现印发给你们，并就有关事项通知如下：</w:t>
      </w:r>
    </w:p>
    <w:p w14:paraId="1BCB89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33333"/>
          <w:spacing w:val="0"/>
          <w:kern w:val="0"/>
          <w:sz w:val="15"/>
          <w:szCs w:val="15"/>
          <w:lang w:val="en-US" w:eastAsia="zh-CN" w:bidi="ar"/>
        </w:rPr>
        <w:t>一、为加强绿色金融市场流动性，提升绿色金融资产管理效率、降低识别成本，《绿色金融支持项目目录（2025年版）》统一适用于各类绿色金融产品。沪深北交易所上市及股票发行、新三板挂牌及股票发行业务暂不适用。</w:t>
      </w:r>
    </w:p>
    <w:p w14:paraId="343379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kern w:val="0"/>
          <w:sz w:val="15"/>
          <w:szCs w:val="15"/>
          <w:lang w:val="en-US" w:eastAsia="zh-CN" w:bidi="ar"/>
        </w:rPr>
      </w:pPr>
    </w:p>
    <w:p w14:paraId="61FBFC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33333"/>
          <w:spacing w:val="0"/>
          <w:kern w:val="0"/>
          <w:sz w:val="15"/>
          <w:szCs w:val="15"/>
          <w:lang w:val="en-US" w:eastAsia="zh-CN" w:bidi="ar"/>
        </w:rPr>
        <w:t>二、各相关单位要以《绿色金融支持项目目录（2025年版）》为基础，结合各自领域绿色发展目标任务和绿色金融体系建设情况，研究制定和落实相关配套支持政策，加强宣传引导，发挥好各类绿色金融工具对环境改善、应对气候变化和资源节约高效利用的支持作用，推动经济社会可持续发展和绿色低碳转型。</w:t>
      </w:r>
    </w:p>
    <w:p w14:paraId="139290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kern w:val="0"/>
          <w:sz w:val="15"/>
          <w:szCs w:val="15"/>
          <w:lang w:val="en-US" w:eastAsia="zh-CN" w:bidi="ar"/>
        </w:rPr>
      </w:pPr>
    </w:p>
    <w:p w14:paraId="7D1911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33333"/>
          <w:spacing w:val="0"/>
          <w:kern w:val="0"/>
          <w:sz w:val="15"/>
          <w:szCs w:val="15"/>
          <w:lang w:val="en-US" w:eastAsia="zh-CN" w:bidi="ar"/>
        </w:rPr>
        <w:t>三、做好《绿色金融支持项目目录（2025年版）》与绿色贷款、绿色债券等产品历史标准的衔接。《绿色金融支持项目目录（2025年版）》发布前已审批未发放的贷款，处于存续期或已核准、已完成注册程序的债券，在产品认定和资金投向上仍按照历史标准适用范围执行。《绿色金融支持项目目录（2025年版）》发布时已申报材料但未获得核准或未完成注册程序的债券，发行主体在绿色项目认定上，可自行选择适用历史标准或《绿色金融支持项目目录（2025年版）》。对上述债券，均鼓励发债主体按照《绿色金融支持项目目录（2025年版）》进行信息披露等相关工作。</w:t>
      </w:r>
    </w:p>
    <w:p w14:paraId="33CC3F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kern w:val="0"/>
          <w:sz w:val="15"/>
          <w:szCs w:val="15"/>
          <w:lang w:val="en-US" w:eastAsia="zh-CN" w:bidi="ar"/>
        </w:rPr>
      </w:pPr>
    </w:p>
    <w:p w14:paraId="1DBF1EC7">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33333"/>
          <w:spacing w:val="0"/>
          <w:kern w:val="0"/>
          <w:sz w:val="15"/>
          <w:szCs w:val="15"/>
          <w:lang w:val="en-US" w:eastAsia="zh-CN" w:bidi="ar"/>
        </w:rPr>
        <w:t>中国人民银行、金融监管总局、中国证监会将会同相关单位，依据国家生态文明建设重大任务、碳达峰碳中和重大决策部署、生态环境保护和污染防治攻坚战工作重点、技术标准更新、绿色金融国际合作进展等具体情况和国内绿色金融市场发展的需求，适时调整修订《绿色金融支持项目目录（2025年版）》。</w:t>
      </w:r>
    </w:p>
    <w:p w14:paraId="559091AD">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Chars="0" w:right="0" w:rightChars="0"/>
        <w:jc w:val="left"/>
        <w:rPr>
          <w:rFonts w:hint="eastAsia" w:ascii="微软雅黑" w:hAnsi="微软雅黑" w:eastAsia="微软雅黑" w:cs="微软雅黑"/>
          <w:i w:val="0"/>
          <w:iCs w:val="0"/>
          <w:caps w:val="0"/>
          <w:color w:val="333333"/>
          <w:spacing w:val="0"/>
          <w:kern w:val="0"/>
          <w:sz w:val="15"/>
          <w:szCs w:val="15"/>
          <w:lang w:val="en-US" w:eastAsia="zh-CN" w:bidi="ar"/>
        </w:rPr>
      </w:pPr>
    </w:p>
    <w:p w14:paraId="01D82F8D">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leftChars="0" w:right="0" w:firstLine="0" w:firstLineChars="0"/>
        <w:jc w:val="left"/>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33333"/>
          <w:spacing w:val="0"/>
          <w:kern w:val="0"/>
          <w:sz w:val="15"/>
          <w:szCs w:val="15"/>
          <w:lang w:val="en-US" w:eastAsia="zh-CN" w:bidi="ar"/>
        </w:rPr>
        <w:t>《绿色金融支持项目目录（2025年版）》自2025年10月1日起施行。</w:t>
      </w:r>
    </w:p>
    <w:p w14:paraId="09B1D32C">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Chars="0" w:right="0" w:rightChars="0"/>
        <w:jc w:val="left"/>
        <w:rPr>
          <w:rFonts w:hint="eastAsia" w:ascii="微软雅黑" w:hAnsi="微软雅黑" w:eastAsia="微软雅黑" w:cs="微软雅黑"/>
          <w:i w:val="0"/>
          <w:iCs w:val="0"/>
          <w:caps w:val="0"/>
          <w:color w:val="333333"/>
          <w:spacing w:val="0"/>
          <w:kern w:val="0"/>
          <w:sz w:val="15"/>
          <w:szCs w:val="15"/>
          <w:lang w:val="en-US" w:eastAsia="zh-CN" w:bidi="ar"/>
        </w:rPr>
      </w:pPr>
    </w:p>
    <w:p w14:paraId="0ADFD6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33333"/>
          <w:spacing w:val="0"/>
          <w:kern w:val="0"/>
          <w:sz w:val="15"/>
          <w:szCs w:val="15"/>
          <w:lang w:val="en-US" w:eastAsia="zh-CN" w:bidi="ar"/>
        </w:rPr>
        <w:t>如遇新情况、新问题，请及时向相关业务主管部门报告。</w:t>
      </w:r>
    </w:p>
    <w:p w14:paraId="4F224D90">
      <w:pPr>
        <w:numPr>
          <w:ilvl w:val="0"/>
          <w:numId w:val="0"/>
        </w:numPr>
        <w:rPr>
          <w:rFonts w:hint="eastAsia" w:ascii="微软雅黑" w:hAnsi="微软雅黑" w:eastAsia="微软雅黑" w:cs="微软雅黑"/>
          <w:i w:val="0"/>
          <w:iCs w:val="0"/>
          <w:caps w:val="0"/>
          <w:color w:val="38444F"/>
          <w:spacing w:val="0"/>
          <w:sz w:val="22"/>
          <w:szCs w:val="22"/>
          <w:shd w:val="clear" w:fill="FFFFFF"/>
        </w:rPr>
      </w:pPr>
    </w:p>
    <w:p w14:paraId="6BA87D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33333"/>
          <w:spacing w:val="0"/>
          <w:kern w:val="0"/>
          <w:sz w:val="15"/>
          <w:szCs w:val="15"/>
          <w:lang w:val="en-US" w:eastAsia="zh-CN" w:bidi="ar"/>
        </w:rPr>
        <w:t>中国人民银行</w:t>
      </w:r>
    </w:p>
    <w:p w14:paraId="162CDA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33333"/>
          <w:spacing w:val="0"/>
          <w:kern w:val="0"/>
          <w:sz w:val="15"/>
          <w:szCs w:val="15"/>
          <w:lang w:val="en-US" w:eastAsia="zh-CN" w:bidi="ar"/>
        </w:rPr>
        <w:t>金融监管总局</w:t>
      </w:r>
    </w:p>
    <w:p w14:paraId="6AF204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33333"/>
          <w:spacing w:val="0"/>
          <w:kern w:val="0"/>
          <w:sz w:val="15"/>
          <w:szCs w:val="15"/>
          <w:lang w:val="en-US" w:eastAsia="zh-CN" w:bidi="ar"/>
        </w:rPr>
        <w:t>中国证监会</w:t>
      </w:r>
    </w:p>
    <w:p w14:paraId="0A8274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微软雅黑" w:hAnsi="微软雅黑" w:eastAsia="微软雅黑" w:cs="微软雅黑"/>
          <w:i w:val="0"/>
          <w:iCs w:val="0"/>
          <w:caps w:val="0"/>
          <w:color w:val="333333"/>
          <w:spacing w:val="0"/>
          <w:kern w:val="0"/>
          <w:sz w:val="15"/>
          <w:szCs w:val="15"/>
          <w:lang w:val="en-US" w:eastAsia="zh-CN" w:bidi="ar"/>
        </w:rPr>
      </w:pPr>
      <w:r>
        <w:rPr>
          <w:rFonts w:hint="eastAsia" w:ascii="微软雅黑" w:hAnsi="微软雅黑" w:eastAsia="微软雅黑" w:cs="微软雅黑"/>
          <w:i w:val="0"/>
          <w:iCs w:val="0"/>
          <w:caps w:val="0"/>
          <w:color w:val="333333"/>
          <w:spacing w:val="0"/>
          <w:kern w:val="0"/>
          <w:sz w:val="15"/>
          <w:szCs w:val="15"/>
          <w:lang w:val="en-US" w:eastAsia="zh-CN" w:bidi="ar"/>
        </w:rPr>
        <w:t>2025年6月27日</w:t>
      </w:r>
    </w:p>
    <w:p w14:paraId="3370C3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微软雅黑" w:hAnsi="微软雅黑" w:eastAsia="微软雅黑" w:cs="微软雅黑"/>
          <w:i w:val="0"/>
          <w:iCs w:val="0"/>
          <w:caps w:val="0"/>
          <w:color w:val="333333"/>
          <w:spacing w:val="0"/>
          <w:kern w:val="0"/>
          <w:sz w:val="15"/>
          <w:szCs w:val="15"/>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9CEAF"/>
    <w:multiLevelType w:val="singleLevel"/>
    <w:tmpl w:val="3669CEA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427BF"/>
    <w:rsid w:val="5A3771CB"/>
    <w:rsid w:val="5A442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1133</Words>
  <Characters>1207</Characters>
  <Lines>0</Lines>
  <Paragraphs>0</Paragraphs>
  <TotalTime>0</TotalTime>
  <ScaleCrop>false</ScaleCrop>
  <LinksUpToDate>false</LinksUpToDate>
  <CharactersWithSpaces>1221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2025-07-30T01:38:00Z</dcterms:created>
  <dc:creator>雾瑜</dc:creator>
  <cp:lastModifiedBy>雾瑜</cp:lastModifiedBy>
  <dcterms:modified xsi:type="dcterms:W3CDTF">2025-07-30T02:00:41Z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C8A81EDF938649B0AD370BA8CED3E180_11</vt:lpwstr>
  </property>
  <property fmtid="{D5CDD505-2E9C-101B-9397-08002B2CF9AE}" pid="4" name="KSOTemplateDocerSaveRecord">
    <vt:lpwstr>eyJoZGlkIjoiNTNjYzllMDA1ZjdjNDM0ZTRkOWFkYzY2Y2IyYmZlNmIiLCJ1c2VySWQiOiI0MDcxNzc0MTcifQ==</vt:lpwstr>
  </property>
</Properties>
</file>