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7952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center"/>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36"/>
          <w:szCs w:val="36"/>
          <w:bdr w:val="none" w:color="auto" w:sz="0" w:space="0"/>
          <w:shd w:val="clear" w:fill="FFFFFF"/>
        </w:rPr>
        <w:t>国家发展改革委等部门关于促进可再生能源绿色电力证书市场高质量发展的意见</w:t>
      </w:r>
      <w:r>
        <w:rPr>
          <w:rFonts w:ascii="楷体" w:hAnsi="楷体" w:eastAsia="楷体" w:cs="楷体"/>
          <w:i w:val="0"/>
          <w:iCs w:val="0"/>
          <w:caps w:val="0"/>
          <w:color w:val="333333"/>
          <w:spacing w:val="0"/>
          <w:sz w:val="24"/>
          <w:szCs w:val="24"/>
          <w:bdr w:val="none" w:color="auto" w:sz="0" w:space="0"/>
          <w:shd w:val="clear" w:fill="FFFFFF"/>
        </w:rPr>
        <w:br w:type="textWrapping"/>
      </w:r>
      <w:r>
        <w:rPr>
          <w:rFonts w:hint="eastAsia" w:ascii="楷体" w:hAnsi="楷体" w:eastAsia="楷体" w:cs="楷体"/>
          <w:i w:val="0"/>
          <w:iCs w:val="0"/>
          <w:caps w:val="0"/>
          <w:color w:val="333333"/>
          <w:spacing w:val="0"/>
          <w:sz w:val="24"/>
          <w:szCs w:val="24"/>
          <w:bdr w:val="none" w:color="auto" w:sz="0" w:space="0"/>
          <w:shd w:val="clear" w:fill="FFFFFF"/>
        </w:rPr>
        <w:t>发改能源〔2025〕262号</w:t>
      </w:r>
    </w:p>
    <w:p w14:paraId="1EE6D23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各省、自治区、直辖市、新疆生产建设兵团发展改革委、能源局、工业和信息化主管部门、商务主管部门、数据管理部门，国家能源局各派出机构，国家电网有限公司、中国南方电网有限责任公司、内蒙古电力（集团）有限责任公司，有关中央企业，北京、广州、内蒙古电力交易中心，水电水利规划设计总院、电力规划设计总院：</w:t>
      </w:r>
    </w:p>
    <w:p w14:paraId="119F7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加快推进可再生能源绿色电力证书（以下简称绿证）市场建设，是以更大力度推动可再生能源高质量发展的关键举措，是健全绿色低碳发展机制的重要内容，是经济社会发展全面绿色转型的内在要求。为贯彻落实《中华人民共和国能源法》有关规定，加快建立绿色能源消费促进机制，推动绿证市场高质量发展，进一步提升全社会绿色电力消费水平，提出以下意见。</w:t>
      </w:r>
    </w:p>
    <w:p w14:paraId="55EF450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一、总体要求</w:t>
      </w:r>
    </w:p>
    <w:p w14:paraId="45E6E74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以习近平新时代中国特色社会主义思想为指导，全面贯彻落实党的二十大和二十届二中、三中全会精神，深入落实“四个革命、一个合作”能源安全新战略，充分发挥市场在资源配置中的决定性作用，更好发挥政府作用，大力培育绿证市场，激发绿色电力消费需求，引导绿证价格合理体现绿色电力环境价值，加快形成绿色生产方式和生活方式。</w:t>
      </w:r>
    </w:p>
    <w:p w14:paraId="37D50E8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到2027年，绿证市场交易制度基本完善，强制消费与自愿消费相结合的绿色电力消费机制更加健全，绿色电力消费核算、认证、标识等制度基本建立，绿证与其他机制衔接更加顺畅，绿证市场潜力加快释放，绿证国际应用稳步推进，实现全国范围内绿证畅通流动。到2030年，绿证市场制度体系进一步健全，全社会自主消费绿色电力需求显著提升，绿证市场高效有序运行，绿证国际应用有效实现，绿色电力环境价值合理体现，有力支撑可再生能源高质量发展，助力经济社会发展全面绿色转型。</w:t>
      </w:r>
    </w:p>
    <w:p w14:paraId="477380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二、稳定绿证市场供给</w:t>
      </w:r>
    </w:p>
    <w:p w14:paraId="1DE62BC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一）及时自动核发绿证。加快可再生能源发电项目建档立卡，原则上当月完成上个月并网项目建档立卡。强化国家绿证核发交易系统功能技术支撑，依据电网企业和电力交易机构提供的已建档立卡可再生能源发电项目月度结算电量，逐月统一批量自动核发绿证，原则上当月完成上个月电量对应绿证核发。</w:t>
      </w:r>
    </w:p>
    <w:p w14:paraId="172E78E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二）提升绿色电力交易规模。加快提升以绿色电力和对应绿色电力环境价值为标的物的绿色电力交易规模，稳步推动风电（含分散式风电和海上风电）、太阳能发电（含分布式光伏发电和光热发电），以及生物质发电</w:t>
      </w:r>
      <w:bookmarkStart w:id="0" w:name="_GoBack"/>
      <w:bookmarkEnd w:id="0"/>
      <w:r>
        <w:rPr>
          <w:rFonts w:hint="eastAsia" w:ascii="宋体" w:hAnsi="宋体" w:eastAsia="宋体" w:cs="宋体"/>
          <w:i w:val="0"/>
          <w:iCs w:val="0"/>
          <w:caps w:val="0"/>
          <w:color w:val="333333"/>
          <w:spacing w:val="0"/>
          <w:sz w:val="24"/>
          <w:szCs w:val="24"/>
          <w:bdr w:val="none" w:color="auto" w:sz="0" w:space="0"/>
          <w:shd w:val="clear" w:fill="FFFFFF"/>
        </w:rPr>
        <w:t>、地热能发电、海洋能发电等可再生能源发电项目参与绿色电力交易。</w:t>
      </w:r>
    </w:p>
    <w:p w14:paraId="50E634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三）健全绿证核销机制。完善绿证全生命周期闭环管理，规范绿证核销机制。对已声明完成绿色电力消费的绿证，依据绿色电力消费认证凭证或其他声明材料予以核销；对未交易或已交易但未声明完成绿色电力消费的绿证，超过有效期后自动予以核销；对申请中国核证自愿减排量（CCER）的深远海海上风电、光热发电项目，在完成减排量核查和登记后，对减排量对应的绿证予以核销。</w:t>
      </w:r>
    </w:p>
    <w:p w14:paraId="0DD8E0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（四）支持绿证跨省流通。推动绿证在全国范围内合理流通，各地区不得以任何方式限制绿证交易区域。支持发用双方自主参与绿证交易或绿色电力交易，推动绿证在更大范围内优化配置。</w:t>
      </w:r>
    </w:p>
    <w:p w14:paraId="118CED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三、激发绿证消费需求</w:t>
      </w:r>
    </w:p>
    <w:p w14:paraId="765265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五）明确绿证强制消费要求。依法稳步推进绿证强制消费，逐步提高绿色电力消费比例并使用绿证核算。加快提升钢铁、有色、建材、石化、化工等行业企业和数据中心，以及其他重点用能单位和行业的绿色电力消费比例，到2030年原则上不低于全国可再生能源电力总量消纳责任权重平均水平；国家枢纽节点新建数据中心绿色电力消费比例在80%基础上进一步提升。在有条件的地区分类分档打造一批高比例消费绿色电力的绿电工厂、绿电园区等，鼓励其实现100%绿色电力消费。将绿色电力消费信息纳入上市企业环境、社会和公司治理（ESG）报告体系。</w:t>
      </w:r>
    </w:p>
    <w:p w14:paraId="5F6DFC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六）健全绿证自愿消费机制。鼓励相关用能单位在强制绿色电力消费比例之上，进一步提升绿色电力消费比例。发挥政府部门、事业单位、国有企业引领作用，稳步提升绿色电力消费水平。鼓励企业主动披露绿色电力消费情况。鼓励行业龙头企业、跨国公司及其产业链企业、外向型企业打造绿色产业链供应链，逐年提高绿色电力消费比例，协同推进企业绿色转型。建设一批高比例消费绿色电力的绿电建筑、绿电社区。推广绿色充电桩，支持新能源汽车充绿电。鼓励居民消费绿色电力，推动电网企业、绿证交易平台等机构为居民购买绿证提供更便利服务，将绿色电力消费纳入绿色家庭、绿色出行等评价指标。研究建立以绿证为基础的绿色电力消费分档分级标识。</w:t>
      </w:r>
    </w:p>
    <w:p w14:paraId="3CD909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（七）完善金融财政相关支持政策。加大绿色金融对企业、产品和活动等开展绿色电力消费的支持力度，强化绿色信贷支持。将绿色电力消费要求纳入绿色产品评价标准，研究制定政府采购支持绿色产品政策。</w:t>
      </w:r>
    </w:p>
    <w:p w14:paraId="5C7623D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四、完善绿证交易机制</w:t>
      </w:r>
    </w:p>
    <w:p w14:paraId="1EE3AA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（八）健全绿证市场价格机制。健全绿证价格形成机制，加强绿证价格监测，研究建立绿证价格指数，引导绿证价格在合理水平运行。参考绿证单独交易价格，合理形成绿色电力交易中的绿证价格。</w:t>
      </w:r>
    </w:p>
    <w:p w14:paraId="19197D2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九）优化绿证交易机制。完善全国统一的绿证交易体系，强化绿证交易平台建设。推动发用双方签订绿证中长期购买协议。支持代理机构参与分布式新能源发电项目绿证核发和交易。加快设立省级绿证账户，完善电网代理购电相应存量水电绿证的划转机制。</w:t>
      </w:r>
    </w:p>
    <w:p w14:paraId="0D04D4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完善绿色电力交易机制。推进多年、年度、月度以及月内绿色电力交易机制建设，鼓励发用双方签订多年期购买协议。鼓励各地通过绿色电力交易形式落实国家能源战略、规划，有效扩大跨省跨区供给。鼓励具备条件的地区结合分布式新能源资源禀赋和用户实际需求，推动分布式新能源就近聚合参与绿色电力交易。</w:t>
      </w:r>
    </w:p>
    <w:p w14:paraId="06E90D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五、拓展绿证应用场景</w:t>
      </w:r>
    </w:p>
    <w:p w14:paraId="19278B9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（十一）加快绿证标准体系建设。研究绿证相关标准体系，编制绿色电力消费标准目录，按照急用先行原则，加快各类标准制定工作。推动绿证与重点行业企业碳排放核算和重点产品碳足迹核算标准有效衔接。</w:t>
      </w:r>
    </w:p>
    <w:p w14:paraId="54FB857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二）建立绿色电力消费核算机制。建立基于绿证的绿色电力消费核算机制，制定绿色电力消费核算规范，明确绿色电力消费核算流程和核算方法。开展绿色电力消费核算服务，为企业提供权威的绿色电力消费清单。完善绿色电力消费统计排名维度和层级。</w:t>
      </w:r>
    </w:p>
    <w:p w14:paraId="2764A82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三）开展绿色电力消费认证。制定绿色电力消费认证相关技术标准、规则、标识，建立符合我国国情的绿色电力消费认证机制，鼓励第三方认证机构开展面向不同行业和领域的绿色电力消费认证，推进认证结果在相关领域的采信和应用。鼓励相关主体积极使用绿色电力消费标识，提高其品牌形象和市场竞争力。</w:t>
      </w:r>
    </w:p>
    <w:p w14:paraId="4D7A5B8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四）推动绿证与其他机制有效衔接。推动将可再生能源电力消纳责任权重压实至重点用能单位，使用绿证用于权重核算。逐步扩大绿色电力消费比例要求的行业企业范围并使用绿证核算。推动将绿色电力消费要求纳入重点用能和碳排放单位节能降碳管理办法。加强绿证与碳排放核算衔接，强化绿证在重点产品碳足迹核算和产品碳标识中的应用。</w:t>
      </w:r>
    </w:p>
    <w:p w14:paraId="09DF9F6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Style w:val="5"/>
          <w:rFonts w:hint="eastAsia" w:ascii="宋体" w:hAnsi="宋体" w:eastAsia="宋体" w:cs="宋体"/>
          <w:i w:val="0"/>
          <w:iCs w:val="0"/>
          <w:caps w:val="0"/>
          <w:color w:val="333333"/>
          <w:spacing w:val="0"/>
          <w:sz w:val="24"/>
          <w:szCs w:val="24"/>
          <w:bdr w:val="none" w:color="auto" w:sz="0" w:space="0"/>
          <w:shd w:val="clear" w:fill="FFFFFF"/>
        </w:rPr>
        <w:t>六、推动绿证应用走出去</w:t>
      </w:r>
    </w:p>
    <w:p w14:paraId="4BA278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五）推动绿证标准国际化。坚持“引进来”和“走出去”相结合，统筹做好国际标准和国内标准编制。推动我国绿色电力消费标准用于国际绿色电力消费核算与认证，提升标准的权威性和认可度。加快绿色电力消费国际标准编制，推动我国绿色电力消费标准转化为国际标准。做好通用核算方法和标准国际推广工作。</w:t>
      </w:r>
    </w:p>
    <w:p w14:paraId="43E11DE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六）加强国际合作交流。在政府间机制性对话中将绿证作为重要议题，支持各类机构及企业针对绿色电力消费的标准制定、认证对接、核算应用等工作与国际社会开展务实交流与合作，引导贸易伙伴认可中国绿证。与国际组织做好沟通交流，加大宣介力度，推动扩大中国绿证使用场景。培育具有国际影响力的绿色电力消费认证机构，鼓励行业成立绿色电力消费倡议国际组织，提升绿证对用能企业覆盖面和影响力，增强企业绿色竞争力。</w:t>
      </w:r>
    </w:p>
    <w:p w14:paraId="431592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十七）强化政策宣介服务。灵活多样开展绿证政策宣贯活动，推动形成主动消费绿色电力的良好氛围。鼓励开展宣贯会、洽谈会等促进绿证交易的活动。鼓励各地，特别是京津冀、长三角、粤港澳大湾区等绿证需求较多的地区，探索设立绿证绿电服务中心，更好满足绿色电力消费需求。</w:t>
      </w:r>
    </w:p>
    <w:p w14:paraId="79B8DA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420"/>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能源局会同相关部门开展绿证市场监测，加强绿证与其他机制的统筹衔接，共同推动绿证市场建设，营造消费绿色电力良好氛围。绿证核发机构和各绿证交易平台要认真落实主体责任，高效规范做好绿证核发和交易。各省级能源主管部门会同相关部门，组织相关用能单位落实好绿色电力消费比例目标要求。国家能源局各派出机构做好辖区内绿证市场监管。</w:t>
      </w:r>
    </w:p>
    <w:p w14:paraId="08E5CC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ind w:left="0" w:right="0" w:firstLine="0"/>
        <w:jc w:val="righ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bdr w:val="none" w:color="auto" w:sz="0" w:space="0"/>
          <w:shd w:val="clear" w:fill="FFFFFF"/>
        </w:rPr>
        <w:t>国家发展改革委</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国家能源局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工业和信息化部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商务部</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国家数据局</w:t>
      </w:r>
      <w:r>
        <w:rPr>
          <w:rFonts w:hint="eastAsia" w:ascii="宋体" w:hAnsi="宋体" w:eastAsia="宋体" w:cs="宋体"/>
          <w:i w:val="0"/>
          <w:iCs w:val="0"/>
          <w:caps w:val="0"/>
          <w:color w:val="333333"/>
          <w:spacing w:val="0"/>
          <w:sz w:val="24"/>
          <w:szCs w:val="24"/>
          <w:bdr w:val="none" w:color="auto" w:sz="0" w:space="0"/>
          <w:shd w:val="clear" w:fill="FFFFFF"/>
        </w:rPr>
        <w:br w:type="textWrapping"/>
      </w:r>
      <w:r>
        <w:rPr>
          <w:rFonts w:hint="eastAsia" w:ascii="宋体" w:hAnsi="宋体" w:eastAsia="宋体" w:cs="宋体"/>
          <w:i w:val="0"/>
          <w:iCs w:val="0"/>
          <w:caps w:val="0"/>
          <w:color w:val="333333"/>
          <w:spacing w:val="0"/>
          <w:sz w:val="24"/>
          <w:szCs w:val="24"/>
          <w:bdr w:val="none" w:color="auto" w:sz="0" w:space="0"/>
          <w:shd w:val="clear" w:fill="FFFFFF"/>
        </w:rPr>
        <w:t>2025年3月6日</w:t>
      </w:r>
    </w:p>
    <w:p w14:paraId="5BBCFDD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AA62D7"/>
    <w:rsid w:val="3BAA6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2025-07-30T01:34:00Z</dcterms:created>
  <dc:creator>雾瑜</dc:creator>
  <cp:lastModifiedBy>雾瑜</cp:lastModifiedBy>
  <dcterms:modified xsi:type="dcterms:W3CDTF">2025-07-30T01:36:06Z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4A636463034346F2A4EE6B9D5A3B682C_11</vt:lpwstr>
  </property>
  <property fmtid="{D5CDD505-2E9C-101B-9397-08002B2CF9AE}" pid="4" name="KSOTemplateDocerSaveRecord">
    <vt:lpwstr>eyJoZGlkIjoiNTNjYzllMDA1ZjdjNDM0ZTRkOWFkYzY2Y2IyYmZlNmIiLCJ1c2VySWQiOiI0MDcxNzc0MTcifQ==</vt:lpwstr>
  </property>
</Properties>
</file>